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object w:dxaOrig="9128" w:dyaOrig="14379">
          <v:rect xmlns:o="urn:schemas-microsoft-com:office:office" xmlns:v="urn:schemas-microsoft-com:vml" id="rectole0000000000" style="width:456.400000pt;height:71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Word.Document.8" DrawAspect="Content" ObjectID="0000000000" ShapeID="rectole0000000000" r:id="docRId0"/>
        </w:object>
      </w:r>
      <w:r>
        <w:rPr>
          <w:rFonts w:ascii="Arial" w:hAnsi="Arial" w:cs="Arial" w:eastAsia="Arial"/>
          <w:color w:val="243F60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243F60"/>
          <w:spacing w:val="0"/>
          <w:position w:val="0"/>
          <w:sz w:val="24"/>
          <w:shd w:fill="auto" w:val="clear"/>
        </w:rPr>
        <w:t xml:space="preserve">сельсовета Курчатовского района Курской области (Нескородова Л.В.) предусмотреть ассигнования на реализацию муниципальной программы в Дружненском сельсовете Курчатовском районе Курской области</w:t>
      </w:r>
      <w:r>
        <w:rPr>
          <w:rFonts w:ascii="Arial" w:hAnsi="Arial" w:cs="Arial" w:eastAsia="Arial"/>
          <w:color w:val="243F60"/>
          <w:spacing w:val="-2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243F60"/>
          <w:spacing w:val="0"/>
          <w:position w:val="0"/>
          <w:sz w:val="24"/>
          <w:shd w:fill="auto" w:val="clear"/>
        </w:rPr>
        <w:t xml:space="preserve">на 2018-2020 годы при формировании проекта местного бюджета на 2018 год и на плановый период 2019 и 2020 годов.</w:t>
      </w:r>
    </w:p>
    <w:p>
      <w:pPr>
        <w:spacing w:before="0" w:after="20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Установить, что в случае отклонения объемов финансирования за счет средств бюджета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Дружненский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Курчатовского района Курской области, определенных утвержденной муниципальной программой Дружненского сельсовета Курчатовского района Курской области, от объемов финансирования муниципальной программы, утвержденных решением Собрания депутатов Дружненского сельсовета Курчатовского района Курской области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 бюджете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Дружненский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Курчатовского района Курской области на 2018 год и на плановый период 2019 и 2020 годов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далее - решение о бюджете), не позднее двух месяцев со дня вступления в силу указанного решения о бюджете представить в Администрацию Дружненского сельсовета Курчатовского района Курской области предложение о приведении утвержденных муниципальных программ Дружненского сельсовета Курчатовского района Курской области в соответствие с решением о бюджете в установленном порядке.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Постановление подлежит размещению на официальном сайте Дружненского сельсовета Курчатовского района Курской области и вступает в силу с 01 января 2018 года.</w:t>
      </w:r>
    </w:p>
    <w:p>
      <w:pPr>
        <w:spacing w:before="0" w:after="20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Глава Дружненского сельсовета                                                      Ю.М. Мяснянкин</w:t>
      </w:r>
    </w:p>
    <w:p>
      <w:pPr>
        <w:spacing w:before="0" w:after="2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Приложение 1</w:t>
      </w:r>
    </w:p>
    <w:p>
      <w:pPr>
        <w:spacing w:before="0" w:after="2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 постановлению Администрации</w:t>
      </w:r>
    </w:p>
    <w:p>
      <w:pPr>
        <w:spacing w:before="0" w:after="2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Дружненского сельсовета</w:t>
      </w:r>
    </w:p>
    <w:p>
      <w:pPr>
        <w:spacing w:before="0" w:after="2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Курчатовского района Курской области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 01 ноября 2017 года №124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Муниципальная программа</w:t>
      </w:r>
    </w:p>
    <w:p>
      <w:pPr>
        <w:spacing w:before="0" w:after="200" w:line="240"/>
        <w:ind w:right="0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Профилактика правонарушений,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 участие в профилактике терроризма и экстремизма, а также в минимизации и (или) ликвидации последствий проявления терроризма и экстремизма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 территории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Дружненский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Курчатовского района Курской области на 2018-2020 годы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1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Дружненского сельсовета Курчатовского района Курской области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составления проекта муниципальной программы - 2017 год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Непосредственный исполнитель: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главный специалист-эксперт Администрации Дружненского сельсовета Курчатовского района Курской области Нескородова Любовь Викторовна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телефон: 8(47131) 2-14-18, электронный адрес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ds</w:t>
        </w:r>
        <w:r>
          <w:rPr>
            <w:rFonts w:ascii="Arial" w:hAnsi="Arial" w:cs="Arial" w:eastAsia="Arial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"mailto:ds54321@mail.ru"</w:t>
        </w:r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54321@</w:t>
        </w:r>
        <w:r>
          <w:rPr>
            <w:rFonts w:ascii="Arial" w:hAnsi="Arial" w:cs="Arial" w:eastAsia="Arial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"mailto:ds54321@mail.ru"</w:t>
        </w:r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mail</w:t>
        </w:r>
        <w:r>
          <w:rPr>
            <w:rFonts w:ascii="Arial" w:hAnsi="Arial" w:cs="Arial" w:eastAsia="Arial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"mailto:ds54321@mail.ru"</w:t>
        </w:r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Arial" w:hAnsi="Arial" w:cs="Arial" w:eastAsia="Arial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"mailto:ds54321@mail.ru"</w:t>
        </w:r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№2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Дружненского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Курчатовского района Курской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01 ноября 2017 года №124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16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2D2D2D"/>
          <w:spacing w:val="2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2"/>
          <w:position w:val="0"/>
          <w:sz w:val="32"/>
          <w:shd w:fill="FFFFFF" w:val="clear"/>
        </w:rPr>
        <w:t xml:space="preserve">Паспорт </w:t>
      </w:r>
    </w:p>
    <w:p>
      <w:pPr>
        <w:keepNext w:val="true"/>
        <w:keepLines w:val="true"/>
        <w:numPr>
          <w:ilvl w:val="0"/>
          <w:numId w:val="16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муниципальной программы</w:t>
      </w:r>
    </w:p>
    <w:p>
      <w:pPr>
        <w:spacing w:before="0" w:after="200" w:line="240"/>
        <w:ind w:right="0" w:left="0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Профилактика правонарушений,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и участие в профилактике терроризма и экстремизма, а также в минимизации и (или) ликвидации последствий проявления терроризма и экстремизма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на территории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Дружненский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Курчатовского района Курской области на 2018-2020 годы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D2D2D"/>
          <w:spacing w:val="2"/>
          <w:position w:val="0"/>
          <w:sz w:val="20"/>
          <w:shd w:fill="FFFFFF" w:val="clear"/>
        </w:rPr>
      </w:pPr>
    </w:p>
    <w:tbl>
      <w:tblPr/>
      <w:tblGrid>
        <w:gridCol w:w="3758"/>
        <w:gridCol w:w="5703"/>
      </w:tblGrid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Ответственный исполнитель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Программы</w:t>
            </w: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Администрация Дружненского сельсовета</w:t>
            </w:r>
          </w:p>
        </w:tc>
      </w:tr>
      <w:tr>
        <w:trPr>
          <w:trHeight w:val="5580" w:hRule="auto"/>
          <w:jc w:val="left"/>
        </w:trPr>
        <w:tc>
          <w:tcPr>
            <w:tcW w:w="3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Подпрограмма муниципальной программы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Подпрограмма   муниципальной программы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Обеспечение правопорядка на территории муниципального образования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Дружненский сельсовет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Курчатовского района Курской области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муниципальной программы Дружненского сельсовета Курчатовского района Курской области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Профилактика правонарушений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» </w:t>
            </w:r>
          </w:p>
          <w:p>
            <w:pPr>
              <w:spacing w:before="0" w:after="200" w:line="240"/>
              <w:ind w:right="0" w:left="0" w:firstLine="709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территории муниципального образования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Дружненский сельсовет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Курчатовского района Курской области на 2018-2020 годы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75" w:hRule="auto"/>
          <w:jc w:val="left"/>
        </w:trPr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Программно – целевые инструменты программы</w:t>
            </w: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программно – целевые инструменты программы отсутствуют. </w:t>
            </w:r>
          </w:p>
        </w:tc>
      </w:tr>
      <w:tr>
        <w:trPr>
          <w:trHeight w:val="600" w:hRule="auto"/>
          <w:jc w:val="left"/>
        </w:trPr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 муниципальной Программы</w:t>
            </w: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правопорядка на территории Дружненского сельсовета Курчатовского района Курской области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муниципальной Программы</w:t>
            </w: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правонарушений в жилом секторе, на улицах и в общественных местах.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Усиление социальной профилактики правонарушений среди несовершеннолетних.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Усиление борьбы с коррупционными проявлениями.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Противодействие терроризму и экстремизму, содействие повышению культуры толерантного поведения в обществе.</w:t>
              <w:br/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Формирование позитивного общественного мнения о работе правоохранительных органов.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930" w:hRule="auto"/>
          <w:jc w:val="left"/>
        </w:trPr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Целевые индикаторы и показатели муниципальной Программы</w:t>
            </w: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Снижение количества преступлений, совершенных в общественных местах.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числа выявленных правонарушений во взаимодействии с представителями общественных формирований правоохранительной направленности.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Снижение числа несовершеннолетних, совершивших преступления.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Увеличение числа лекций и бесед среди учащихся общеобразовательных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учреждений.</w:t>
              <w:br/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Увеличение числа публикаций в СМИ о деятельности органов и учреждений профилактики по вопросам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безнадзорности и правонарушений несовершеннолетних.</w:t>
              <w:br/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Снижение числа выявленных лиц, совершивших преступления коррупционной направленности.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количества публикаций в СМИ по вопросам противодействия коррупции.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количества разъяснительных бесед по противодействию экстремизму в общеобразовательных учреждениях.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доли респондентов, удовлетворительно оценивающих деятельность МО МВД России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Курчатовский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450" w:hRule="auto"/>
          <w:jc w:val="left"/>
        </w:trPr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Этапы и сроки реализации муниципальной Программы</w:t>
            </w: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Программа реализуется в один этап 2018 - 2020 годы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450" w:hRule="auto"/>
          <w:jc w:val="left"/>
        </w:trPr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Объемы бюджетных ассигнований муниципальной Программы</w:t>
            </w: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Общий объём финансирования мероприятий программы предусматривается за счет средств бюджета Дружненского сельсовета Курчатовского района Курской области всего 6000 рублей: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2018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2000   рублей.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2019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2000   рублей.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2020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2000 рублей.</w:t>
            </w:r>
          </w:p>
        </w:tc>
      </w:tr>
      <w:tr>
        <w:trPr>
          <w:trHeight w:val="495" w:hRule="auto"/>
          <w:jc w:val="left"/>
        </w:trPr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Перечень основных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программных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мероприятий</w:t>
            </w: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целевых оперативно-профилактических мероприятий по пресечению наиболее совершаемых видов преступлений и правонарушений в жилом секторе, на улицах и общественных местах.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мониторинга состояния подростковой преступности и профилактической деятельности среди несовершеннолетних с выработкой и реализацией комплекса мер, направленных на предупреждение и пресечение преступлений, совершаемых несовершеннолетними.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Освещение в СМИ информации о выявленных фактах коррупции, ее причинах и условиях, а также результатах деятельности по противодействию коррупции.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Обследование объектов с массовым пребыванием граждан для определения состояния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антитеррористической защищенности.</w:t>
              <w:br/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Проведение в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общеобразовательных учреждениях разъяснительных бесед, направленных на недопущение вовлечения подростков и молодежи в незаконную деятельность религиозных сект и экстремистских организаций, пропаганду идеи межнациональной терпимости, дружбы, добрососедства и взаимного уважения.</w:t>
              <w:br/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Проведение социологических опросов удовлетворенности населения обеспечением правопорядка и безопасности деятельности граждан села, в том числе с использованием сети Интернет.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550" w:hRule="auto"/>
          <w:jc w:val="left"/>
        </w:trPr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Ожидаемые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результаты реализации муниципальной Программы</w:t>
            </w: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Программы позволит: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Снизить количество преступлений, совершенных в общественных местах;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Увеличить число выявленных правонарушений во взаимодействии с представителями общественных формирований правоохранительной направленности;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Снизить число несовершеннолетних, совершивших преступления;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Увеличить число лекций и бесед среди учащихся общеобразовательных учреждений;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Увеличить число публикаций в СМИ о деятельности органов и учреждений профилактики по вопросам безнадзорности и правонарушений несовершеннолетних;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Снизить число выявленных лиц, совершивших преступления коррупционной направленности;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Увеличить количество публикаций в СМИ по вопросам противодействия коррупции;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Снизить долю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</w:t>
              <w:br/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Увеличить количество разъяснительных бесед по противодействию экстремизму в общеобразовательных учреждениях;</w:t>
              <w:br/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Увеличить долю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респондентов, удовлетворительно оценивающих деятельность МО МВД России 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Курчатовский</w:t>
            </w:r>
            <w:r>
              <w:rPr>
                <w:rFonts w:ascii="Arial" w:hAnsi="Arial" w:cs="Arial" w:eastAsia="Arial"/>
                <w:color w:val="2D2D2D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</w:tbl>
    <w:p>
      <w:pPr>
        <w:keepNext w:val="true"/>
        <w:keepLines w:val="true"/>
        <w:numPr>
          <w:ilvl w:val="0"/>
          <w:numId w:val="71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2D2D2D"/>
          <w:spacing w:val="2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2"/>
          <w:position w:val="0"/>
          <w:sz w:val="32"/>
          <w:shd w:fill="FFFFFF" w:val="clear"/>
        </w:rPr>
        <w:t xml:space="preserve">1. </w:t>
      </w:r>
      <w:r>
        <w:rPr>
          <w:rFonts w:ascii="Arial" w:hAnsi="Arial" w:cs="Arial" w:eastAsia="Arial"/>
          <w:b/>
          <w:color w:val="000000"/>
          <w:spacing w:val="2"/>
          <w:position w:val="0"/>
          <w:sz w:val="32"/>
          <w:shd w:fill="FFFFFF" w:val="clear"/>
        </w:rPr>
        <w:t xml:space="preserve"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2D2D2D"/>
          <w:spacing w:val="2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Дружненском сельсовете Курчатовского района Курской области ведется всесторонняя работа, направленная на повышение эффективности принимаемых мер по устранению причин и условий совершения правонарушений и обеспечение правопорядка, путем оптимизации взаимодействия всех субъектов профилактики правонарушений: органа местного самоуправления, правоохранительных органов, организаций, общественных объединений и граждан.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Проблема правонарушений, совершаемых гражданами, приобрела особую остроту в последние годы в связи с рядом объективных и субъективных факторов, в том числе - несоответствием растущих потребностей граждан, прежде всего молодежи, и возможностей существующей действительности, а также недостаточной эффективностью профилактической работы, проводимой органами правопорядка и органом местного самоуправления среди населения и крайне низким уровнем сознательности определенных слоев населения.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 правопорядка на территории Дружненского сельсовета, по-прежнему, осложняется социальными факторами, как алкоголизм и наркомания.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Крайне негативное влияние на состояние общественной безопасности оказывают отдельные социально-неадаптированные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отсутствие, по-настоящему действенных, форм реабилитации перечисленных категорий граждан.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Преступность является социальным явлением, порождаемым множеством различных социальных факторов. В этой связи возможное развитие событий в данной сфере, в долгосрочной перспективе зависят в первую очередь от эволюции ситуации в идеологической, политической, социально-экономической сферах.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Криминальная ситуация будет улучшаться при улучшении положения в обществе.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повышении уровня экономического развития,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Одним из важных факторов, существенно увеличивающим объем регистрируемой преступности, является наличие развитой страховой системы, поскольку активное обращение граждан в полицию стимулируется необходимостью подтверждения ущерба, нанесенного преступлением.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 росту числа регистрируемых преступлений способствует доступность правоохранительных органов через современные средства коммуникации.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 действия этих и подобных им факторов является сокращение латентной составляющей преступности.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Рассматривая перспективы развития ситуации в сфере реализации муниципальной программы, следует учитывать, что в посткризисных условиях либо в случае развития новой волны кризисных явлений возможно усиление влияния существующих криминогенных факторов.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Наряду с этим необходимо учитывать вероятные риски в достижении целевых индикаторов, обусловленные проводимым реформированием органов внутренних дел Российской Федерации и изменением действующего законодательства.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Могут быть выделены следующие основные тенденции изменения сферы реализации муниципальной программы в среднесрочной перспективе, связанные как с воздействием внешней среды, так и с деятельностью исполнителей муниципальной программы.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среднесрочной перспективе (в ближайшие 3 – 5 лет) предположительно продолжится сокращение общего уровня регистрируемой преступности. Будет также снижаться число зарегистрированных тяжких и особо тяжких посягательств на жизнь и здоровье, в том числе убийств, умышленных причинений тяжкого вреда здоровью. Сократится и число преступлений, оставшихся нераскрытыми. В этот период возможно дальнейшее снижение числа выявляемых преступлений экономической направленности при одновременном росте удельного веса тяжких и особо тяжких деяний соответствующего вида. При этом сохранится тенденция увеличения общественной опасности экстремистских проявлений. Вероятен некоторый рост подростковой преступности. Прогнозируется в течение 2 – 3 ближайших лет незначительное увеличение числа лиц, совершивших преступления или подозреваемых и обвиняемых в их совершении, скрывшихся от органов дознания, следствия или суда.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долгосрочной перспективе при условии улучшения социально-экономической ситуации и проведения государством эффективной политики, направленной на развитие правоохранительной системы, предположительно будет уменьшаться или стабилизируется количество насильственных преступлений, в том числе совершенных в общественных местах, на фоне некоторого роста общего количества зарегистрированных преступлений.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Терроризм и экстремизм в современных условиях стали основными источниками угроз для населения нашей страны, в том числе и для жителей Курчатовского района Курской области. В связи с многонациональным и многоконфессиональным составом населения района существует потенциальная возможность проявления экстремизма.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Особо остро стоят вопросы предотвращения террористических актов в местах с массовым пребыванием людей и на объектах жизнеобеспечения населения. В ряде случаев граждане, ставшие свидетелями совершения преступлений и иных правонарушений, не имеют возможности своевременно обратиться в полицию, что приводит к тяжелым последствиям.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 программы невозможно в короткое время создать эффективный механизм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и уровня правовой культуры граждан, развитие системы социальной адаптации и реабилитации лиц, находящихся в трудной жизненной ситуации, в том числе бывших осужденных и освободившихся из мест лишения свободы.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Предусмотренные муниципальной программой Дружненского сельсовета Курчатовского района Курской области "Профилактика правонарушений " меры основаны на изучении главных криминологических тенденций на территории Дружненского сельсовета Курчатовского района,  на прогнозируемых оценках их дальнейшего развития, сложившейся практике и опыте борьбы с преступностью, в том числе на основе областной целевой программы "Комплексная межведомственная программа по профилактике преступлений и иных правонарушений в Курской области на 2017 - 2019 годы".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FFFFFF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FFFFFF" w:val="clear"/>
        </w:rPr>
        <w:t xml:space="preserve"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Стратегии национальной безопасности Российской Федерации до 2020 года, утвержденной Указом Президента Российской Федерации от 12 мая 2009г. №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2008г. № 1662-р,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объектов; обеспечение равной защиты прав собственности на объекты недвижимости; предотвращение и пресечение рейдерских захватов; сокращение количества контрольных и надзорных мероприятий, проводимых в отношении малого бизнеса; противодействие легализации (отмыванию) денежных средств или иного имущества, приобретенных преступным путем; борьба с коррупцией.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уровне муниципальной власти,  в целях эффективной деятельности по укреплению общественной безопасности необходимо выстраивание модели взаимодействия всех уровней муниципальной власти, правоохранительных органов, общественных организаций, обеспечивающей эффективность механизмов профилактической работы с населением по предупреждению правонарушений и укрепление общественной безопасности.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Исходя из положений вышеуказанных документов и нормативных правовых актов сформулирована цель муниципальной программы.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Основной целью Программы является обеспечение правопорядка на территории Дружненского сельсовета Курчатовского района Курской области.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достижения цели Программы предусматривается решение следующих задач: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  <w:t xml:space="preserve">снижение уровня правонарушений в жилом секторе, на улицах и в общественных местах;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  <w:t xml:space="preserve">усиление социальной профилактики правонарушений среди несовершеннолетних;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  <w:t xml:space="preserve"> - </w:t>
      </w:r>
      <w:r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  <w:t xml:space="preserve">усиление борьбы с коррупционными проявлениями;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  <w:t xml:space="preserve">противодействие терроризму и экстремизму, содействие повышению культуры толерантного поведения в обществе;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2"/>
          <w:position w:val="0"/>
          <w:sz w:val="24"/>
          <w:shd w:fill="auto" w:val="clear"/>
        </w:rPr>
        <w:t xml:space="preserve">формирование позитивного общественного мнения о работе правоохранительных органов.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Важным результатом реализации муниципальной программы должно стать снижение правонарушений и преступлений на территории Дружненского сельсовета  Курчатовского района Курской области.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Экономическим эффектом реализации муниципальной программы является минимизация ущерба, причиненного преступной и иной противоправной деятельностью наносимого жизни и здоровью граждан, всем формам собственности.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социально-экономической сферы.  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Социальным эффектом реализации муниципальной программы является обеспечение достаточно высокого уровня защищенности жизни, здоровья, прав и свобод граждан, законных интересов общества от преступных и иных противоправных посягательств.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Основным критерием социальной эффективности, характеризующим ожидаемый вклад реализации муниципальной программы в социальное развитие Курчатовского района, является общественное мнение граждан о защищенности своих личных, имущественных и неимущественных прав и свобод, гарантированных Конституцией РФ, отражающее оценку населением деятельности органов местного самоуправления и правоохранительных органов.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 реализации муниципальной  программы – 2018 – 2020 годы.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Сведения о показателях и индикаторах муниципальной программы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Основными показателями реализации муниципальной программы являются: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снижение количества преступлений, совершенных в общественных местах;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увеличение числа выявленных правонарушений во взаимодействии с представителями общественных формирований правоохранительной направленности.</w:t>
      </w: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снижение числа несовершеннолетних, совершивших преступления.</w:t>
      </w: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увеличение числа лекций и бесед среди учащихся общеобразовательных учреждений.</w:t>
      </w: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увеличение числа публикаций в СМИ о деятельности органов и учреждений профилактики по вопросам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безнадзорности и правонарушений несовершеннолетних.</w:t>
      </w: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снижение числа выявленных лиц, совершивших преступления коррупционной направленности.</w:t>
      </w: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увеличение количества публикаций в СМИ по вопросам противодействия коррупции.</w:t>
      </w: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</w:t>
      </w: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увеличение количества разъяснительных бесед по противодействию экстремизму в общеобразовательных учреждениях.</w:t>
      </w: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увеличение доли респондентов, удовлетворительно оценивающих деятельность МО МВД России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Курчатовский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 о показателях (индикаторах) муниципальной программы, включенных в нее подпрограмм, а также их значениях приведены в таблице  1 (приложение № 1).</w:t>
      </w: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Специфика сферы реализации муниципальной программы накладывает определенные ограничения на использование показателей муниципальной программы и показателей подпрограмм муниципальной программы. В этой связи плановые значения показателей рассматриваются в первую очередь как целевые ориентиры реализации муниципальной программы.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Обобщенная характеристика основных мероприятий муниципальной программы и ее подпрограмм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рамках муниципальной программы реализуются мероприятия входящих в  состав муниципальной программы подпрограммы: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 правопорядка на территории муниципального района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Курчатовский район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 программы Курчатовского района Курской области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Профилактика правонарушений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на 2017-2019 годы.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рамках муниципальной программы ведомственные целевые программы не реализуются.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Подпрограмма :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 правопорядка на территории Дружненского сельсовета Курчатовского района Курской области муниципальной программы Дружненского сельсовета Курчатовского района Курской области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Профилактика правонарушений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на 2018-2020 годы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решения задач подпрограммы Обеспечение правопорядка на территории Дружненского сельсовета Курчатовского района Курской области муниципальной программы Дружненского сельсовета Курчатовского района Курской области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Профилактика правонарушений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на 2018-2020 годы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разработаны следующие мероприятия: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повышение правовой грамматности населения района с целью предупреждения противоправного поведения граждан;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мероприятия по организации работы ДНД;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подготовка и размещение в электронных средствах массовой информации социальной рекламы антинаркотической направленности;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освещение в районной газете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Слово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вопросов антинаркотической направленности и правовой грамотности;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проведение на постоянной основе в учебных заведениях работы по профилактике наркомании, дивиантного поведения несовершеннолетних, в том числе с привлечением сотрудников МО МВД России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Курчатовский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проведение ежегодных мероприятий ко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Дню борьбы со СПИДом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Дню борьбы с наркоманией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Мы выбираем жизнь!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организация и проведение антинаркотических спортивных массовых мероприятий  среди учащихся образовательных учреждений под девизом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Физическая культура и спорт – наш путь к успеху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Спорт – против наркотиков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 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проведение ежегодной акции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Скажи наркотикам НЕТ!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школах Дружненского сельсовета Курчатовского района Курской области;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проведение круглого стола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Работа образовательных учреждений по профилактике здорового образа жизни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проведение уроков по физическому воспитанию в образовательных учреждениях под девизом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Физическая культура против наркотиков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проведение на территории Дружненского сельсовета Курчатовского района оперативно-профилактической операции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акции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Сообщи, где торгуют смертью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изготовление и распространение среди учащихся общеобразовательных учреждений и ПУ наглядной агитации по профилактике употребления и распространения наркотиков;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организация работы антинаркотической комиссии Дружненского сельсовета Курчатовского района Курской области.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Обобщенная характеристика мер муниципального регулирования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Налоговые, тарифные и кредитные меры муниципального реагирования в рамках реализации муниципальной программы не предусматриваются.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Реализация мероприятий программы предусматривает применение комплекса экономических, организационных, нормативных правовых мер: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программных мероприятий на текущий год и бюджетных заявок на их финансирование;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проектной и рабочей документации по реализации мероприятий подпрограмм, размещения заказов на поставки товаров, выполнение работ, оказание услуг для муниципальных нужд;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ходом реализации мероприятий.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Размещения заказов на поставки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Заказчики координаторы ежегодно, при формировании муниципального бюджета Дружненского сельсовета Курчатовского района на очередной финансовый год, уточняют объемы финансовых средств, необходимых для их реализации.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Прогноз сводных показателей муниципальных заданий по этапам реализации муниципальной программы не предусматривается.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95" w:after="195" w:line="276"/>
        <w:ind w:right="0" w:left="0" w:firstLine="0"/>
        <w:jc w:val="center"/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92D24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b/>
          <w:color w:val="292D24"/>
          <w:spacing w:val="0"/>
          <w:position w:val="0"/>
          <w:sz w:val="24"/>
          <w:shd w:fill="auto" w:val="clear"/>
        </w:rPr>
        <w:t xml:space="preserve">Характеристика основных мероприятий, реализуемых муниципальным образованием</w:t>
      </w:r>
    </w:p>
    <w:p>
      <w:pPr>
        <w:spacing w:before="195" w:after="195" w:line="276"/>
        <w:ind w:right="0" w:left="0" w:firstLine="85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Программа реализуется Администрацией Дружненского сельсовета Курчатовского района Курской области.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рамках реализации основных мероприятий программы  предполагается участие следующих учреждений и организаций: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 МВД России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Курчатовский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ОГИБДД МО МВД России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Курчатовский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Курчатовская ЦРБ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Обоснования выделения подпрограммы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подпрограммы: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 правопорядка на территории Дружненского сельсовета Курчатовского района Курской области муниципальной программы Дружненского сельсовета Курчатовского района Курской области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Профилактика правонарушений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на 2018-2020 годы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Подпрограмма имеют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Подпрограммой предусмотрены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Обоснование объема финансовых ресурсов, необходимых для реализации муниципальной программы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Финансирование из муниципального бюджета на реализацию муниципальной 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Ресурсное обеспечение реализации муниципальной программы представлено в таблице 3 (Приложение № 3)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Невыполнение или неэффективное выполнение муниципальной программы возможно в случае реализации внутренних либо внешних рисков.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внутренним рискам можно отнести 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и специфические (появление новых способов совершения преступлений).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рискам, неподдающимся управлению, относятся, в первую очередь, различные форс-мажорные обстоятельства.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Внесение изменений в муниципальную программу осуществляется по инициативе ответственного исполнителя, ответственных соисполнителей,  либо во исполнение поручений Главы Дружненского сельсовета Курчатовского района Курской области, в соответствии с установленным порядком.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Методика оценки эффективности муниципальной программы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Методика оценки эффективности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Методика включает проведение количественных оценок эффективности по следующим направлениям: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эффективность использования средств муниципального бюджета (оценка экономической эффективности достижения результатов).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социальной сфере.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Расчет результативности по каждому показателю муниципальной программы проводится по формуле: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559" w:dyaOrig="587">
          <v:rect xmlns:o="urn:schemas-microsoft-com:office:office" xmlns:v="urn:schemas-microsoft-com:vml" id="rectole0000000001" style="width:77.950000pt;height:29.3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Equation.3" DrawAspect="Content" ObjectID="0000000001" ShapeID="rectole0000000001" r:id="docRId3"/>
        </w:objec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,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где: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Ei –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степень достижения  i – показателя муниципальной программы (процентов);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Tfi –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фактическое значение показателя;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TNi –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установленное муниципальной программой целевое значение  показателя.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Расчет результативности реализации муниципальной программы в целом проводится по формуле: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где: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результативность реализации муниципальной программы (процентов);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количество показателей муниципальной программы.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целях оценки степени достижения запланированных результатов муниципальной программы устанавливаются следующие критерии: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Расчет степени соответствия фактических затрат средств муниципального бюджета на реализацию муниципальной программы запланированному уровню производится по следующей формуле: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где: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 – полнота использования средств муниципального бюджета;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ЗФ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 фактические расходы средств муниципального бюджета на реализацию муниципальной программы в соответствующем периоде;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ЗП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 запланированные муниципальным бюджетом расходы на реализацию муниципальной программы в соответствующей периоде.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целях оценки степени соответствия фактических затрат средств муниципального бюджета на реализацию муниципальной программы запланированному уровню, полученное значение показателя полноты использования средств муниципального бюджета сравнивается со значением показателя результативности: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значение показателя результативности E и значение показателя полноты использования средств муниципального бюджета П равны или больше 80%, то степень соответствия фактических затрат средств муниципального бюджета на реализацию муниципальной программы запланированному уровню оценивается как удовлетворительная;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значения показателя результативности E меньше 80%, а значение показателя полноты использования средств муниципального бюджета П меньше 100%, то степень соответствия фактических затрат средств муниципального бюджета на реализацию муниципальной программы запланированному уровню оценивается как неудовлетворительная.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Расчет эффективности использования средств муниципального бюджета на реализацию муниципальной программы производится по следующей формуле: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769" w:dyaOrig="587">
          <v:rect xmlns:o="urn:schemas-microsoft-com:office:office" xmlns:v="urn:schemas-microsoft-com:vml" id="rectole0000000002" style="width:38.450000pt;height:29.3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Equation.3" DrawAspect="Content" ObjectID="0000000002" ShapeID="rectole0000000002" r:id="docRId5"/>
        </w:objec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где: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 – эффективность использования средств муниципального бюджета;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 – показатель полноты использования средств муниципального бюджета;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–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показатель результативности реализации муниципальной программы.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целях оценки эффективности использования средств муниципального бюджета при реализации муниципальной программы устанавливаются следующие критерии: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значение показателя эффективность использования средств муниципального бюджета Э равно 1, то такая эффективность оценивается как соответствующая запланированной;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значение показателя эффективность использования средств муниципального  бюджета Э меньше 1, то такая эффективность оценивается как высокая;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значение показателя эффективность использования средств муниципального бюджета Э больше 1, то такая эффективность оценивается как низкая.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необходимости ответственный исполнитель муниципальной программы  может привлекать независимых экспертов для проведения анализа хода реализации муниципальной программ.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Подпрограмма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Дружненский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Курчатовского района Курской области на 2018-2020 годы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Описание подпрограммы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Технико-экономическое обоснование подпрограммы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Разработка и принятие подпрограммы обусловлены необходимостью объединения усилий администрации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Дружненский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правоохранительных органов в целях совершенствования взаимодействия между ними в деле противодействия терроризму, снижения влияния факторов, оказывающих негативное влияние на криминогенную обстановку на территории городского поселения.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более полного достижения прогнозируемых конечных результатов подпрограммы целесообразно применить программный подход к решению вопросов совершенствования профилактики терроризма и экстремизма, укрепления правопорядка и борьбы с преступностью.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Ресурсное обеспечение подпрограммы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Источником финансирования подпрограммы является местный бюджет.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Оценка эффективности реализации подпрограммы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Реализация подпрограммы позволит придать процессу декриминализации общества системный характер и будет способствовать повышению эффективности профилактики терроризма и экстремизма.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Проблемам профилактики, выявления и пресечения террористической и иной экстремистской деятельности уделяется большое внимание как со стороны Администрации Дружненского сельсовета, так и правоохранительных структур.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Выполнение подпрограммы предусматривает работы по повышению уровня антитеррористической защищенности объектов потенциальных террористических посягательств.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Увеличение объектов, оборудованных современными средствами охранной, тревожной и пожарной сигнализации, системами безопасности и контроля доступа, повлечет за собой отсроченный социальный эффект, выражающийся в предотвращении потерь от криминальных проявлений в отношении как самих объектов (материальных средств), так и находящихся на их территории граждан.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Экономическая эффективность подпрограммы будет выражена в сохранении трудоспособности граждан за счет сокращения числа пострадавших от последствий преступных посягательств, создании стабильной обстановки.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Механизм управления реализацией подпрограммы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целевым расходованием средств осуществляется в соответствии с действующим законодательством.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Ход и результаты выполнения мероприятий подпрограммы могут рассматриваться на заседаниях  межведомственной комиссии по профилактике правонарушений.</w:t>
      </w:r>
    </w:p>
    <w:p>
      <w:pPr>
        <w:tabs>
          <w:tab w:val="right" w:pos="912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FFFFFF" w:val="clear"/>
        </w:rPr>
        <w:t xml:space="preserve">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№3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Дружненского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Курчатовского района Курской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01 ноября 2017 года №124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мероприятий по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Дружненский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Курчатовского района Курской области на 2018–2020 годы</w:t>
      </w:r>
    </w:p>
    <w:tbl>
      <w:tblPr>
        <w:tblInd w:w="98" w:type="dxa"/>
      </w:tblPr>
      <w:tblGrid>
        <w:gridCol w:w="547"/>
        <w:gridCol w:w="2782"/>
        <w:gridCol w:w="2109"/>
        <w:gridCol w:w="2194"/>
        <w:gridCol w:w="1614"/>
      </w:tblGrid>
      <w:tr>
        <w:trPr>
          <w:trHeight w:val="635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проведения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 исполнители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180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Ежемесячно 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администрации;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ПП МВД России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Курчатовский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Курчатовской межрайонной прокуратуры (по согласованию)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бесед с детьми и молодежью посёлка о принципах толерантности, поведения в вопросах веротерпимости и согласия.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Депутаты МО;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администрации;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ПП МВД России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Курчатовский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экскурсий для жителей с целью углубления их знаний о городе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администрации Дружненского сельсовета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Содействие по организации встреч жителей посёлка с представителями полиции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администрации; Дружненского сельсовета; Сотрудники ПП МВД России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Курчатовский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 населения о необходимости укрепления чердаков, подвалов дверей и окон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МО; Директор МУП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Дружненское ЖКХ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Опубликование и обнародование материалов о противодействии экстремистской и террористической деятельности  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администрации Дружненского сельсовета; Сотрудники редакции районной газеты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и распространение евро буклетов, памяток,  направленных на профилактику терроризма и экстремизма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ежеквартально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администрации Дружненского сельсовета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комплексных обследований образовательных учреждений и объектов здравоохранения и прилегающих к ним   </w:t>
              <w:br/>
              <w:t xml:space="preserve">территорий в целях    </w:t>
              <w:br/>
              <w:t xml:space="preserve">проверки их           </w:t>
              <w:br/>
              <w:t xml:space="preserve">антитеррористической  </w:t>
              <w:br/>
              <w:t xml:space="preserve">защищенности, противопожарной безопасности и паспортизации данных объектов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ежеквартально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администрации Дружненского сельсовета; Курчатовской ЦРБ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регулярных проверок  жилых домов, пустующих зданий на предмет установления граждан, незаконно находящихся на территории городского поселения, и обнаружения элементов подготовки  </w:t>
              <w:br/>
              <w:t xml:space="preserve">террористических акций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ежеквартально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администрации Дружненского сельсовета; Сотрудники ПП МВД России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Курчатовский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 Курчатовской межрайонной прокуратуры (по согласованию)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№4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Дружненского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Курчатовского района Курской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01 ноября 2017 года №124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Расходы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областного бюджета, федерального бюджета, местных бюджетов и внебюджетных источников на реализацию муниципальной программы </w:t>
      </w:r>
    </w:p>
    <w:tbl>
      <w:tblPr/>
      <w:tblGrid>
        <w:gridCol w:w="927"/>
        <w:gridCol w:w="1983"/>
        <w:gridCol w:w="1560"/>
        <w:gridCol w:w="1134"/>
        <w:gridCol w:w="1134"/>
        <w:gridCol w:w="1275"/>
        <w:gridCol w:w="1272"/>
      </w:tblGrid>
      <w:tr>
        <w:trPr>
          <w:trHeight w:val="1" w:hRule="atLeast"/>
          <w:jc w:val="left"/>
        </w:trPr>
        <w:tc>
          <w:tcPr>
            <w:tcW w:w="9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Статус</w:t>
            </w:r>
          </w:p>
        </w:tc>
        <w:tc>
          <w:tcPr>
            <w:tcW w:w="19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Ответственный исполнитель - Администрация Дружненского сельсовета</w:t>
            </w:r>
          </w:p>
        </w:tc>
        <w:tc>
          <w:tcPr>
            <w:tcW w:w="48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Оценка расходов (рублей), годы</w:t>
            </w:r>
          </w:p>
        </w:tc>
      </w:tr>
      <w:tr>
        <w:trPr>
          <w:trHeight w:val="1831" w:hRule="auto"/>
          <w:jc w:val="left"/>
        </w:trPr>
        <w:tc>
          <w:tcPr>
            <w:tcW w:w="9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2020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</w:tr>
      <w:tr>
        <w:trPr>
          <w:trHeight w:val="1" w:hRule="atLeast"/>
          <w:jc w:val="left"/>
        </w:trPr>
        <w:tc>
          <w:tcPr>
            <w:tcW w:w="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9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8"/>
                <w:position w:val="0"/>
                <w:sz w:val="22"/>
                <w:shd w:fill="auto" w:val="clear"/>
              </w:rPr>
              <w:t xml:space="preserve">Муниципальная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</w:t>
            </w:r>
          </w:p>
        </w:tc>
        <w:tc>
          <w:tcPr>
            <w:tcW w:w="1983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Профилактика правонарушений и  участие в профилактике терроризма и экстремизма а также в минимизациии  и ликвидации последствий проявления терроризма и экстремизма на территории МО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Дружненский сельсовет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Курчатовского района Курской области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на 2018-2020годы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2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</w:tr>
      <w:tr>
        <w:trPr>
          <w:trHeight w:val="1" w:hRule="atLeast"/>
          <w:jc w:val="left"/>
        </w:trPr>
        <w:tc>
          <w:tcPr>
            <w:tcW w:w="9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местный бюджет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2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</w:tr>
      <w:tr>
        <w:trPr>
          <w:trHeight w:val="1" w:hRule="atLeast"/>
          <w:jc w:val="left"/>
        </w:trPr>
        <w:tc>
          <w:tcPr>
            <w:tcW w:w="9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внебюджетные источники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6">
    <w:abstractNumId w:val="6"/>
  </w:num>
  <w:num w:numId="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1.bin" Id="docRId3" Type="http://schemas.openxmlformats.org/officeDocument/2006/relationships/oleObject"/><Relationship Target="numbering.xml" Id="docRId7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ds54321@mail.ru" Id="docRId2" Type="http://schemas.openxmlformats.org/officeDocument/2006/relationships/hyperlink"/><Relationship Target="media/image1.wmf" Id="docRId4" Type="http://schemas.openxmlformats.org/officeDocument/2006/relationships/image"/><Relationship Target="media/image2.wmf" Id="docRId6" Type="http://schemas.openxmlformats.org/officeDocument/2006/relationships/image"/><Relationship Target="styles.xml" Id="docRId8" Type="http://schemas.openxmlformats.org/officeDocument/2006/relationships/styles"/><Relationship Target="media/image0.wmf" Id="docRId1" Type="http://schemas.openxmlformats.org/officeDocument/2006/relationships/image"/><Relationship Target="embeddings/oleObject2.bin" Id="docRId5" Type="http://schemas.openxmlformats.org/officeDocument/2006/relationships/oleObject"/></Relationships>
</file>